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0050A" w:rsidRDefault="0050050A" w:rsidP="0050050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proofErr w:type="spellStart"/>
      <w:r w:rsidRPr="0050050A">
        <w:rPr>
          <w:b/>
          <w:bCs/>
          <w:kern w:val="36"/>
          <w:sz w:val="28"/>
          <w:szCs w:val="28"/>
        </w:rPr>
        <w:t>Росреестр</w:t>
      </w:r>
      <w:proofErr w:type="spellEnd"/>
      <w:r w:rsidRPr="0050050A">
        <w:rPr>
          <w:b/>
          <w:bCs/>
          <w:kern w:val="36"/>
          <w:sz w:val="28"/>
          <w:szCs w:val="28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bookmarkStart w:id="0" w:name="_GoBack"/>
      <w:bookmarkEnd w:id="0"/>
      <w:r w:rsidRPr="0050050A">
        <w:rPr>
          <w:bCs/>
          <w:kern w:val="36"/>
          <w:sz w:val="28"/>
          <w:szCs w:val="28"/>
        </w:rPr>
        <w:t>29 июня 2021 года вступает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50050A">
        <w:rPr>
          <w:bCs/>
          <w:kern w:val="36"/>
          <w:sz w:val="28"/>
          <w:szCs w:val="28"/>
        </w:rPr>
        <w:cr/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8"/>
          <w:szCs w:val="28"/>
        </w:rPr>
      </w:pPr>
      <w:r w:rsidRPr="0050050A">
        <w:rPr>
          <w:b/>
          <w:bCs/>
          <w:kern w:val="36"/>
          <w:sz w:val="28"/>
          <w:szCs w:val="28"/>
        </w:rPr>
        <w:t>Процедура реализации закона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50050A">
        <w:rPr>
          <w:bCs/>
          <w:kern w:val="36"/>
          <w:sz w:val="28"/>
          <w:szCs w:val="28"/>
        </w:rPr>
        <w:t>Росреестр</w:t>
      </w:r>
      <w:proofErr w:type="spellEnd"/>
      <w:r w:rsidRPr="0050050A">
        <w:rPr>
          <w:bCs/>
          <w:kern w:val="36"/>
          <w:sz w:val="28"/>
          <w:szCs w:val="28"/>
        </w:rPr>
        <w:t xml:space="preserve"> заявления о внесении в ЕГРН соответствующих сведений.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50050A" w:rsidRPr="0050050A" w:rsidRDefault="0050050A" w:rsidP="0050050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 w:rsidRPr="0050050A">
        <w:rPr>
          <w:b/>
          <w:bCs/>
          <w:kern w:val="36"/>
          <w:sz w:val="28"/>
          <w:szCs w:val="28"/>
        </w:rPr>
        <w:t>Информация для правообладателей ранее учтенных объектов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 xml:space="preserve"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</w:t>
      </w:r>
      <w:r w:rsidRPr="0050050A">
        <w:rPr>
          <w:bCs/>
          <w:kern w:val="36"/>
          <w:sz w:val="28"/>
          <w:szCs w:val="28"/>
        </w:rPr>
        <w:lastRenderedPageBreak/>
        <w:t>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50050A">
        <w:rPr>
          <w:bCs/>
          <w:kern w:val="36"/>
          <w:sz w:val="28"/>
          <w:szCs w:val="28"/>
        </w:rPr>
        <w:t>Росреестр</w:t>
      </w:r>
      <w:proofErr w:type="spellEnd"/>
      <w:r w:rsidRPr="0050050A">
        <w:rPr>
          <w:bCs/>
          <w:kern w:val="36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50050A" w:rsidRP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 xml:space="preserve">Ранее учтенными объектами недвижимости </w:t>
      </w:r>
      <w:proofErr w:type="gramStart"/>
      <w:r w:rsidRPr="0050050A">
        <w:rPr>
          <w:bCs/>
          <w:kern w:val="36"/>
          <w:sz w:val="28"/>
          <w:szCs w:val="28"/>
        </w:rPr>
        <w:t>считаются</w:t>
      </w:r>
      <w:proofErr w:type="gramEnd"/>
      <w:r w:rsidRPr="0050050A">
        <w:rPr>
          <w:bCs/>
          <w:kern w:val="36"/>
          <w:sz w:val="28"/>
          <w:szCs w:val="28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50050A">
        <w:rPr>
          <w:bCs/>
          <w:kern w:val="36"/>
          <w:sz w:val="28"/>
          <w:szCs w:val="28"/>
        </w:rPr>
        <w:t>правоудостоверяющих</w:t>
      </w:r>
      <w:proofErr w:type="spellEnd"/>
      <w:r w:rsidRPr="0050050A">
        <w:rPr>
          <w:bCs/>
          <w:kern w:val="36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 xml:space="preserve">Действие нового </w:t>
      </w:r>
      <w:proofErr w:type="gramStart"/>
      <w:r w:rsidRPr="0050050A">
        <w:rPr>
          <w:bCs/>
          <w:kern w:val="36"/>
          <w:sz w:val="28"/>
          <w:szCs w:val="28"/>
        </w:rPr>
        <w:t>закона</w:t>
      </w:r>
      <w:proofErr w:type="gramEnd"/>
      <w:r w:rsidRPr="0050050A">
        <w:rPr>
          <w:bCs/>
          <w:kern w:val="36"/>
          <w:sz w:val="28"/>
          <w:szCs w:val="28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50050A" w:rsidRDefault="0050050A" w:rsidP="0050050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50050A">
        <w:rPr>
          <w:bCs/>
          <w:kern w:val="36"/>
          <w:sz w:val="28"/>
          <w:szCs w:val="28"/>
        </w:rPr>
        <w:t>https://rosreestr.gov.ru/site/press/news/rosreestr-razyasnil-kak-budet-deystvovat-zakon-o-vyyavlenii-pravoobladateley-ranee-uchtennykh-obekto/</w:t>
      </w:r>
    </w:p>
    <w:p w:rsidR="00B64612" w:rsidRPr="00DF0402" w:rsidRDefault="00B64612" w:rsidP="0050050A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F7A35" w:rsidRPr="00B64612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F7A35" w:rsidRPr="00B646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B0FE4"/>
    <w:rsid w:val="000F4FC2"/>
    <w:rsid w:val="0010185F"/>
    <w:rsid w:val="00113A8E"/>
    <w:rsid w:val="0018078C"/>
    <w:rsid w:val="00222901"/>
    <w:rsid w:val="002809D7"/>
    <w:rsid w:val="002B085B"/>
    <w:rsid w:val="002D4ACA"/>
    <w:rsid w:val="002E1FF7"/>
    <w:rsid w:val="003010BE"/>
    <w:rsid w:val="00324BEE"/>
    <w:rsid w:val="00352432"/>
    <w:rsid w:val="003B5EBE"/>
    <w:rsid w:val="003F314B"/>
    <w:rsid w:val="00405115"/>
    <w:rsid w:val="00416801"/>
    <w:rsid w:val="004839EB"/>
    <w:rsid w:val="0050050A"/>
    <w:rsid w:val="00541DE6"/>
    <w:rsid w:val="00570987"/>
    <w:rsid w:val="005D3900"/>
    <w:rsid w:val="005F7A35"/>
    <w:rsid w:val="006650C4"/>
    <w:rsid w:val="00705897"/>
    <w:rsid w:val="0078561C"/>
    <w:rsid w:val="007A4BA4"/>
    <w:rsid w:val="00846D16"/>
    <w:rsid w:val="00872B61"/>
    <w:rsid w:val="008C31A6"/>
    <w:rsid w:val="009402E0"/>
    <w:rsid w:val="009405AB"/>
    <w:rsid w:val="009B20FB"/>
    <w:rsid w:val="009E0046"/>
    <w:rsid w:val="009F609C"/>
    <w:rsid w:val="00A66951"/>
    <w:rsid w:val="00A73442"/>
    <w:rsid w:val="00A74EFD"/>
    <w:rsid w:val="00B02C13"/>
    <w:rsid w:val="00B64612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2021-06-15T14:11:00Z</cp:lastPrinted>
  <dcterms:created xsi:type="dcterms:W3CDTF">2021-06-29T08:11:00Z</dcterms:created>
  <dcterms:modified xsi:type="dcterms:W3CDTF">2021-06-29T08:17:00Z</dcterms:modified>
</cp:coreProperties>
</file>