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49" w:rsidRPr="006E7849" w:rsidRDefault="003803E3" w:rsidP="006E7849">
      <w:pPr>
        <w:spacing w:before="240" w:after="0" w:line="240" w:lineRule="auto"/>
        <w:jc w:val="right"/>
        <w:rPr>
          <w:rFonts w:ascii="Times New Roman" w:hAnsi="Times New Roman" w:cs="Times New Roman"/>
          <w:b/>
          <w:i/>
          <w:sz w:val="28"/>
          <w:szCs w:val="28"/>
          <w:u w:val="single"/>
        </w:rPr>
      </w:pPr>
      <w:r>
        <w:rPr>
          <w:rFonts w:ascii="Times New Roman" w:hAnsi="Times New Roman" w:cs="Times New Roman"/>
          <w:b/>
          <w:i/>
          <w:sz w:val="28"/>
          <w:szCs w:val="28"/>
          <w:u w:val="single"/>
        </w:rPr>
        <w:t>Пенсионный фонд информирует</w:t>
      </w:r>
    </w:p>
    <w:p w:rsidR="0007295B" w:rsidRPr="00164339" w:rsidRDefault="0007295B" w:rsidP="00DE5CEB">
      <w:pPr>
        <w:spacing w:before="240" w:after="0" w:line="240" w:lineRule="auto"/>
        <w:jc w:val="center"/>
        <w:rPr>
          <w:rFonts w:ascii="Times New Roman" w:hAnsi="Times New Roman" w:cs="Times New Roman"/>
          <w:b/>
          <w:kern w:val="36"/>
          <w:sz w:val="32"/>
          <w:szCs w:val="32"/>
          <w:lang w:eastAsia="ru-RU"/>
        </w:rPr>
      </w:pPr>
      <w:r w:rsidRPr="00164339">
        <w:rPr>
          <w:rFonts w:ascii="Times New Roman" w:hAnsi="Times New Roman" w:cs="Times New Roman"/>
          <w:b/>
          <w:kern w:val="36"/>
          <w:sz w:val="32"/>
          <w:szCs w:val="32"/>
          <w:lang w:eastAsia="ru-RU"/>
        </w:rPr>
        <w:t>Важно знать: порядок назначения ЕДВ, НСУ, ДЕМО, ДМО</w:t>
      </w:r>
    </w:p>
    <w:p w:rsidR="0007295B" w:rsidRPr="00164339" w:rsidRDefault="0007295B" w:rsidP="005A0072">
      <w:pPr>
        <w:spacing w:before="240" w:after="0" w:line="240" w:lineRule="auto"/>
        <w:jc w:val="both"/>
        <w:rPr>
          <w:rFonts w:ascii="Times New Roman" w:hAnsi="Times New Roman" w:cs="Times New Roman"/>
          <w:i/>
          <w:sz w:val="28"/>
          <w:szCs w:val="28"/>
          <w:lang w:eastAsia="ru-RU"/>
        </w:rPr>
      </w:pPr>
      <w:r w:rsidRPr="00164339">
        <w:rPr>
          <w:rFonts w:ascii="Times New Roman" w:hAnsi="Times New Roman" w:cs="Times New Roman"/>
          <w:i/>
          <w:sz w:val="28"/>
          <w:szCs w:val="28"/>
          <w:lang w:eastAsia="ru-RU"/>
        </w:rPr>
        <w:t xml:space="preserve">Пенсионный фонд России и его территориальные органы в соответствии с действующим законодательством осуществляют социальные выплаты, к которым, в частности, относятся ежемесячная денежная выплата (ЕДВ) и входящий в ее состав набор социальных услуг (НСУ), дополнительное ежемесячное материальное обеспечение (ДЕМО), </w:t>
      </w:r>
      <w:r w:rsidR="00DE5CEB" w:rsidRPr="00164339">
        <w:rPr>
          <w:rFonts w:ascii="Times New Roman" w:hAnsi="Times New Roman" w:cs="Times New Roman"/>
          <w:i/>
          <w:sz w:val="28"/>
          <w:szCs w:val="28"/>
          <w:lang w:eastAsia="ru-RU"/>
        </w:rPr>
        <w:t xml:space="preserve">а также </w:t>
      </w:r>
      <w:r w:rsidRPr="00164339">
        <w:rPr>
          <w:rFonts w:ascii="Times New Roman" w:hAnsi="Times New Roman" w:cs="Times New Roman"/>
          <w:i/>
          <w:sz w:val="28"/>
          <w:szCs w:val="28"/>
          <w:lang w:eastAsia="ru-RU"/>
        </w:rPr>
        <w:t>дополнительное материальное обеспечение (ДМО).</w:t>
      </w:r>
      <w:r w:rsidRPr="00164339">
        <w:rPr>
          <w:rFonts w:ascii="Times New Roman" w:hAnsi="Times New Roman" w:cs="Times New Roman"/>
          <w:i/>
          <w:iCs/>
          <w:sz w:val="28"/>
          <w:szCs w:val="28"/>
          <w:lang w:eastAsia="ru-RU"/>
        </w:rPr>
        <w:t> </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b/>
          <w:i/>
          <w:iCs/>
          <w:sz w:val="28"/>
          <w:szCs w:val="28"/>
          <w:lang w:eastAsia="ru-RU"/>
        </w:rPr>
        <w:t>Ежемесячная денежная выплата</w:t>
      </w:r>
      <w:r w:rsidRPr="00164339">
        <w:rPr>
          <w:rFonts w:ascii="Times New Roman" w:hAnsi="Times New Roman" w:cs="Times New Roman"/>
          <w:i/>
          <w:iCs/>
          <w:sz w:val="28"/>
          <w:szCs w:val="28"/>
          <w:lang w:eastAsia="ru-RU"/>
        </w:rPr>
        <w:t xml:space="preserve"> </w:t>
      </w:r>
      <w:r w:rsidR="005A0072" w:rsidRPr="00164339">
        <w:rPr>
          <w:rFonts w:ascii="Times New Roman" w:hAnsi="Times New Roman" w:cs="Times New Roman"/>
          <w:b/>
          <w:i/>
          <w:iCs/>
          <w:sz w:val="28"/>
          <w:szCs w:val="28"/>
          <w:lang w:eastAsia="ru-RU"/>
        </w:rPr>
        <w:t>(ЕДВ)</w:t>
      </w:r>
      <w:r w:rsidR="005A0072" w:rsidRPr="00164339">
        <w:rPr>
          <w:rFonts w:ascii="Times New Roman" w:hAnsi="Times New Roman" w:cs="Times New Roman"/>
          <w:i/>
          <w:iCs/>
          <w:sz w:val="28"/>
          <w:szCs w:val="28"/>
          <w:lang w:eastAsia="ru-RU"/>
        </w:rPr>
        <w:t xml:space="preserve"> </w:t>
      </w:r>
      <w:r w:rsidRPr="00164339">
        <w:rPr>
          <w:rFonts w:ascii="Times New Roman" w:hAnsi="Times New Roman" w:cs="Times New Roman"/>
          <w:i/>
          <w:iCs/>
          <w:sz w:val="28"/>
          <w:szCs w:val="28"/>
          <w:lang w:eastAsia="ru-RU"/>
        </w:rPr>
        <w:t xml:space="preserve">– </w:t>
      </w:r>
      <w:r w:rsidRPr="00164339">
        <w:rPr>
          <w:rFonts w:ascii="Times New Roman" w:hAnsi="Times New Roman" w:cs="Times New Roman"/>
          <w:sz w:val="28"/>
          <w:szCs w:val="28"/>
          <w:lang w:eastAsia="ru-RU"/>
        </w:rPr>
        <w:t>социальная выплата, устанавливаемая территориальными органами ПФР отдельным категориям граждан. Среди них:</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ветераны Великой Отечественной войны, боевых действий и т.д.;</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инвалиды, включая детей-инвалидов;</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бывшие несовершеннолетние узники фашизма;</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лица, пострадавшие в результате воздействия радиации.</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rPr>
        <w:t>Ознакомиться с полным перечнем граждан, имеющих право на получение ЕДВ, можно на сайте ПФР в разделе «Гражданам».</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xml:space="preserve">Процесс получения ЕДВ носит заявительный характер.  Письменное заявление необходимо подать в любой Пенсионный фонд по месту жительства либо по месту фактического проживания, или в многофункциональный центр предоставления государственных и муниципальных услуг (МФЦ). Гражданину, который проживает в стационарном учреждении социального обслуживания, необходимо обратиться в ПФР по месту нахождения этого учреждения. Гражданам, осужденным к лишению свободы, необходимо обратиться за назначением ЕДВ в территориальный орган ПФР по месту нахождения исправительного учреждения, в котором они отбывают наказание, через администрацию этого учреждения. Когда ЕДВ назначается несовершеннолетнему или недееспособному, заявление подается по месту жительства несовершеннолетнего или недееспособного лица по месту жительства его родителя (усыновителя, опекуна, попечителя). При этом если родители ребенка проживают раздельно, то заявление подается по месту жительства того из родителей, с которым проживает ребенок. Несовершеннолетний, достигший 14 лет, вправе обратиться за установлением ежемесячной денежной выплаты самостоятельно. Помимо этого заявление о назначении ЕДВ можно подать в электронном виде через: федеральную государственную </w:t>
      </w:r>
      <w:r w:rsidRPr="00164339">
        <w:rPr>
          <w:rFonts w:ascii="Times New Roman" w:hAnsi="Times New Roman" w:cs="Times New Roman"/>
          <w:sz w:val="28"/>
          <w:szCs w:val="28"/>
          <w:lang w:eastAsia="ru-RU"/>
        </w:rPr>
        <w:lastRenderedPageBreak/>
        <w:t>информационную систему «Единый портал государственных и муниципальных услуг (функций)» (ЕПГУ), «Личный кабинет гражданина».</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В случае если гражданин одновременно имеет право на получение ЕДВ по нескольким основаниям в рамках одного закона, выплата устанавливается по одному основанию, предусматривающему более высокий размер выплаты. Индексация ЕДВ проводится один раз в год, и с 1 февраля 2019 года выплата проиндексирована на 4,3% исходя из уровня инфляции за прошлый год.</w:t>
      </w:r>
      <w:r w:rsidRPr="00164339">
        <w:rPr>
          <w:rFonts w:ascii="Times New Roman" w:hAnsi="Times New Roman" w:cs="Times New Roman"/>
          <w:i/>
          <w:iCs/>
          <w:sz w:val="28"/>
          <w:szCs w:val="28"/>
          <w:lang w:eastAsia="ru-RU"/>
        </w:rPr>
        <w:t> </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b/>
          <w:i/>
          <w:iCs/>
          <w:sz w:val="28"/>
          <w:szCs w:val="28"/>
          <w:lang w:eastAsia="ru-RU"/>
        </w:rPr>
        <w:t>Набор социальных услуг (НСУ)</w:t>
      </w:r>
      <w:r w:rsidRPr="00164339">
        <w:rPr>
          <w:rFonts w:ascii="Times New Roman" w:hAnsi="Times New Roman" w:cs="Times New Roman"/>
          <w:sz w:val="28"/>
          <w:szCs w:val="28"/>
          <w:lang w:eastAsia="ru-RU"/>
        </w:rPr>
        <w:t xml:space="preserve"> – входит в состав ЕДВ, стоимость  денежного эквивалента полного пакета социальных услуг с 1 февраля 2019 года составляет 1121,42 рубля. НСУ включает в себя предоставление лекарственных препаратов, медицинских изделий, продуктов лечебного питания (863,75 рубля), предоставление путевки на санаторно-курортное лечение для профилактики основных заболеваний (133,62 рубля), бесплатный проезд на пригородном железнодорожном транспорте или на междугородном транспорте к месту лечения и обратно (124,05 рубля).</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Гражданин может выбрать, в каком виде ему получать НСУ: в натуральной форме или в виде денежного эквивалента. Отказаться от льгот в натуральном выражении можно полностью или частично.</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xml:space="preserve">С вариантом предоставления НСУ на следующий год необходимо определиться до 1 октября текущего года путем подачи заявления в территориальные органы ПФР лично, по почте, в электронном виде через </w:t>
      </w:r>
      <w:hyperlink r:id="rId5" w:anchor="services-f %20" w:history="1"/>
      <w:r w:rsidR="00164339" w:rsidRPr="00164339">
        <w:rPr>
          <w:rFonts w:ascii="Times New Roman" w:hAnsi="Times New Roman" w:cs="Times New Roman"/>
          <w:sz w:val="28"/>
          <w:szCs w:val="28"/>
        </w:rPr>
        <w:t xml:space="preserve">Личный кабинет гражданина </w:t>
      </w:r>
      <w:r w:rsidRPr="00164339">
        <w:rPr>
          <w:rFonts w:ascii="Times New Roman" w:hAnsi="Times New Roman" w:cs="Times New Roman"/>
          <w:sz w:val="28"/>
          <w:szCs w:val="28"/>
          <w:lang w:eastAsia="ru-RU"/>
        </w:rPr>
        <w:t>на сайте ПФР  или через МФЦ. Заявления граждан, принятые до 1 октября 2019 года, будут действовать  с 1 января 2020 года до тех пор, пока льготник не изменит свое решение. Если гражданина устраивает существующий способ получения НСУ, и он не желает его менять, подавать ежегодно заявление не нужно. Достаточно это сделать один раз.</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b/>
          <w:i/>
          <w:iCs/>
          <w:sz w:val="28"/>
          <w:szCs w:val="28"/>
          <w:lang w:eastAsia="ru-RU"/>
        </w:rPr>
        <w:t>Дополнительное ежемесячное материальное обеспечение (ДЕМО)</w:t>
      </w:r>
      <w:r w:rsidRPr="00164339">
        <w:rPr>
          <w:rFonts w:ascii="Times New Roman" w:hAnsi="Times New Roman" w:cs="Times New Roman"/>
          <w:i/>
          <w:iCs/>
          <w:sz w:val="28"/>
          <w:szCs w:val="28"/>
          <w:lang w:eastAsia="ru-RU"/>
        </w:rPr>
        <w:t xml:space="preserve"> –</w:t>
      </w:r>
      <w:r w:rsidRPr="00164339">
        <w:rPr>
          <w:rFonts w:ascii="Times New Roman" w:hAnsi="Times New Roman" w:cs="Times New Roman"/>
          <w:sz w:val="28"/>
          <w:szCs w:val="28"/>
          <w:lang w:eastAsia="ru-RU"/>
        </w:rPr>
        <w:t xml:space="preserve"> ежемесячные выплаты отдельным категориям граждан. Право на материальное обеспечение имеют только граждане Российской Федерации независимо от места их проживания. Ее размер в зависимости от льготной категории составляет 500 или 1000 рублей.</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iCs/>
          <w:sz w:val="28"/>
          <w:szCs w:val="28"/>
          <w:lang w:eastAsia="ru-RU"/>
        </w:rPr>
        <w:t>ДЕМО в размере 1 000 рулей устанавливается:</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инвалидам и участникам Великой Отечественной войны;</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инвалидам вследствие военной травмы;</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бывшим несовершеннолетним узникам концлагерей, гетто и других мест принудительного содержания.</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iCs/>
          <w:sz w:val="28"/>
          <w:szCs w:val="28"/>
          <w:lang w:eastAsia="ru-RU"/>
        </w:rPr>
        <w:t>ДЕМО в размере 500 рублей устанавливается:</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вдовам погибших в годы войны военнослужащих; вдовам инвалидов Великой Отечественной войны;</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лицам, награжденным знаком «Жителю блокадного Ленинграда»;</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 бывшим совершеннолетним узникам нацистских концлагерей, тюрем и гетто.</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ДЕМО выплачивается территориальным органом ПФР одновременно с пенсией. Гражданам, имеющим право на ДЕМО, но не реализовавшим его своевременно, необходимо подать заявление о назначении этой выплаты в территориальный орган ПФР по месту жительства. Если гражданин имеет право на ДЕМО, но он не является пенсионером, эта выплата также назначается и выплачивается территориальными органами ПФР по месту жительства, а в случае постоянного проживания за пределами России – Пенсионным фондом Российской Федерации. Граждане РФ, постоянно проживающие за пределами территории РФ, подтверждают гражданство на дату обращения за назначением ДЕМО.</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В случае если гражданин одновременно имеет право на получение ДЕМО по нескольким основаниям, оно устанавливается по одному основанию, предусматривающему более высокий размер выплаты.</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b/>
          <w:i/>
          <w:iCs/>
          <w:sz w:val="28"/>
          <w:szCs w:val="28"/>
          <w:lang w:eastAsia="ru-RU"/>
        </w:rPr>
        <w:t>Дополнительное материальное обеспечение (ДМО)</w:t>
      </w:r>
      <w:r w:rsidRPr="00164339">
        <w:rPr>
          <w:rFonts w:ascii="Times New Roman" w:hAnsi="Times New Roman" w:cs="Times New Roman"/>
          <w:sz w:val="28"/>
          <w:szCs w:val="28"/>
          <w:lang w:eastAsia="ru-RU"/>
        </w:rPr>
        <w:t xml:space="preserve"> – выплата, которая полагается гражданам Российской Федерации  за выдающиеся достижения в области науки и техники, образования, культуры, литературы и искусства и особые заслуги перед Российской Федерацией.</w:t>
      </w:r>
    </w:p>
    <w:p w:rsidR="0007295B" w:rsidRPr="00164339" w:rsidRDefault="0007295B"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Данная выплата устанавливается к пенсиям, назначенным в соответствии с законодательством Российской Федерации. Самая высокая выплата ДМО предоставляется Героям Советского Союза, Социалистического Труда, обладателям ордена Славы трех степеней, а также пенсионерам, удостоившимся звания Героя РФ, ордена Святого апостола Андрея Первозванного или ордена «За заслуги перед Отечеством» I степени. Размер ДМО привязан к размеру социальной пенсии и, соответственно, различается для категорий получателей этой доплаты. Выплата ДМО производится одновременно с выплатой соответствующей пенсии.</w:t>
      </w:r>
    </w:p>
    <w:p w:rsidR="0007295B" w:rsidRPr="00164339" w:rsidRDefault="005A0072" w:rsidP="005A0072">
      <w:pPr>
        <w:spacing w:before="240" w:after="0" w:line="240" w:lineRule="auto"/>
        <w:jc w:val="both"/>
        <w:rPr>
          <w:rFonts w:ascii="Times New Roman" w:hAnsi="Times New Roman" w:cs="Times New Roman"/>
          <w:sz w:val="28"/>
          <w:szCs w:val="28"/>
          <w:lang w:eastAsia="ru-RU"/>
        </w:rPr>
      </w:pPr>
      <w:r w:rsidRPr="00164339">
        <w:rPr>
          <w:rFonts w:ascii="Times New Roman" w:hAnsi="Times New Roman" w:cs="Times New Roman"/>
          <w:sz w:val="28"/>
          <w:szCs w:val="28"/>
          <w:lang w:eastAsia="ru-RU"/>
        </w:rPr>
        <w:t>Следует учесть, что Д</w:t>
      </w:r>
      <w:r w:rsidR="0007295B" w:rsidRPr="00164339">
        <w:rPr>
          <w:rFonts w:ascii="Times New Roman" w:hAnsi="Times New Roman" w:cs="Times New Roman"/>
          <w:sz w:val="28"/>
          <w:szCs w:val="28"/>
          <w:lang w:eastAsia="ru-RU"/>
        </w:rPr>
        <w:t>МО не выплачивается в период выполнения оплачиваемой работы.</w:t>
      </w:r>
    </w:p>
    <w:p w:rsidR="005A0072" w:rsidRPr="00164339" w:rsidRDefault="005A0072" w:rsidP="005A0072">
      <w:pPr>
        <w:spacing w:before="240" w:after="0" w:line="240" w:lineRule="auto"/>
        <w:jc w:val="both"/>
        <w:rPr>
          <w:rFonts w:ascii="Times New Roman" w:hAnsi="Times New Roman" w:cs="Times New Roman"/>
          <w:i/>
          <w:sz w:val="26"/>
          <w:szCs w:val="26"/>
        </w:rPr>
      </w:pPr>
    </w:p>
    <w:p w:rsidR="003803E3" w:rsidRPr="00164339" w:rsidRDefault="003803E3" w:rsidP="003803E3">
      <w:pPr>
        <w:spacing w:before="240" w:after="0" w:line="240" w:lineRule="auto"/>
        <w:jc w:val="right"/>
        <w:rPr>
          <w:rFonts w:ascii="Times New Roman" w:hAnsi="Times New Roman" w:cs="Times New Roman"/>
          <w:b/>
          <w:i/>
          <w:sz w:val="28"/>
          <w:szCs w:val="28"/>
        </w:rPr>
      </w:pPr>
      <w:r w:rsidRPr="00164339">
        <w:rPr>
          <w:rFonts w:ascii="Times New Roman" w:hAnsi="Times New Roman" w:cs="Times New Roman"/>
          <w:b/>
          <w:i/>
          <w:sz w:val="28"/>
          <w:szCs w:val="28"/>
        </w:rPr>
        <w:t xml:space="preserve">Пресс-служба Отделения ПФР </w:t>
      </w:r>
    </w:p>
    <w:p w:rsidR="003803E3" w:rsidRPr="00164339" w:rsidRDefault="003803E3" w:rsidP="003803E3">
      <w:pPr>
        <w:spacing w:before="240" w:after="0" w:line="240" w:lineRule="auto"/>
        <w:jc w:val="right"/>
        <w:rPr>
          <w:rFonts w:ascii="Times New Roman" w:hAnsi="Times New Roman" w:cs="Times New Roman"/>
          <w:b/>
          <w:i/>
          <w:sz w:val="28"/>
          <w:szCs w:val="28"/>
        </w:rPr>
      </w:pPr>
      <w:r w:rsidRPr="00164339">
        <w:rPr>
          <w:rFonts w:ascii="Times New Roman" w:hAnsi="Times New Roman" w:cs="Times New Roman"/>
          <w:b/>
          <w:i/>
          <w:sz w:val="28"/>
          <w:szCs w:val="28"/>
        </w:rPr>
        <w:t xml:space="preserve">Республике Адыгея </w:t>
      </w:r>
    </w:p>
    <w:p w:rsidR="005A0072" w:rsidRPr="00164339" w:rsidRDefault="003803E3" w:rsidP="003803E3">
      <w:pPr>
        <w:spacing w:before="240" w:after="0" w:line="240" w:lineRule="auto"/>
        <w:jc w:val="right"/>
        <w:rPr>
          <w:rFonts w:ascii="Times New Roman" w:hAnsi="Times New Roman" w:cs="Times New Roman"/>
          <w:b/>
          <w:i/>
          <w:sz w:val="28"/>
          <w:szCs w:val="28"/>
        </w:rPr>
      </w:pPr>
      <w:r w:rsidRPr="00164339">
        <w:rPr>
          <w:rFonts w:ascii="Times New Roman" w:hAnsi="Times New Roman" w:cs="Times New Roman"/>
          <w:b/>
          <w:i/>
          <w:sz w:val="28"/>
          <w:szCs w:val="28"/>
        </w:rPr>
        <w:t>2</w:t>
      </w:r>
      <w:r w:rsidR="00164339">
        <w:rPr>
          <w:rFonts w:ascii="Times New Roman" w:hAnsi="Times New Roman" w:cs="Times New Roman"/>
          <w:b/>
          <w:i/>
          <w:sz w:val="28"/>
          <w:szCs w:val="28"/>
        </w:rPr>
        <w:t>6</w:t>
      </w:r>
      <w:r w:rsidRPr="00164339">
        <w:rPr>
          <w:rFonts w:ascii="Times New Roman" w:hAnsi="Times New Roman" w:cs="Times New Roman"/>
          <w:b/>
          <w:i/>
          <w:sz w:val="28"/>
          <w:szCs w:val="28"/>
        </w:rPr>
        <w:t>.09.2019 г.</w:t>
      </w:r>
    </w:p>
    <w:sectPr w:rsidR="005A0072" w:rsidRPr="00164339" w:rsidSect="00343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4F98"/>
    <w:multiLevelType w:val="multilevel"/>
    <w:tmpl w:val="909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25295"/>
    <w:multiLevelType w:val="multilevel"/>
    <w:tmpl w:val="A888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C0C4A"/>
    <w:multiLevelType w:val="multilevel"/>
    <w:tmpl w:val="34B4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74104"/>
    <w:multiLevelType w:val="hybridMultilevel"/>
    <w:tmpl w:val="E0EC5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B15AF"/>
    <w:rsid w:val="0007295B"/>
    <w:rsid w:val="00096F5F"/>
    <w:rsid w:val="00131601"/>
    <w:rsid w:val="00164339"/>
    <w:rsid w:val="00181E32"/>
    <w:rsid w:val="00343654"/>
    <w:rsid w:val="0036455E"/>
    <w:rsid w:val="003803E3"/>
    <w:rsid w:val="004C3A5E"/>
    <w:rsid w:val="005A0072"/>
    <w:rsid w:val="005B15AF"/>
    <w:rsid w:val="00671D40"/>
    <w:rsid w:val="00687789"/>
    <w:rsid w:val="006E7849"/>
    <w:rsid w:val="0085256B"/>
    <w:rsid w:val="00B62511"/>
    <w:rsid w:val="00B86447"/>
    <w:rsid w:val="00C71943"/>
    <w:rsid w:val="00DE5CEB"/>
    <w:rsid w:val="00E73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54"/>
  </w:style>
  <w:style w:type="paragraph" w:styleId="1">
    <w:name w:val="heading 1"/>
    <w:basedOn w:val="a"/>
    <w:link w:val="10"/>
    <w:uiPriority w:val="9"/>
    <w:qFormat/>
    <w:rsid w:val="00072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B15AF"/>
    <w:rPr>
      <w:i/>
      <w:iCs/>
    </w:rPr>
  </w:style>
  <w:style w:type="character" w:customStyle="1" w:styleId="text-highlight">
    <w:name w:val="text-highlight"/>
    <w:basedOn w:val="a0"/>
    <w:rsid w:val="00C71943"/>
    <w:rPr>
      <w:b/>
      <w:bCs/>
      <w:color w:val="4DA6E8"/>
      <w:sz w:val="26"/>
      <w:szCs w:val="26"/>
    </w:rPr>
  </w:style>
  <w:style w:type="character" w:styleId="a5">
    <w:name w:val="Strong"/>
    <w:basedOn w:val="a0"/>
    <w:uiPriority w:val="22"/>
    <w:qFormat/>
    <w:rsid w:val="0007295B"/>
    <w:rPr>
      <w:b/>
      <w:bCs/>
    </w:rPr>
  </w:style>
  <w:style w:type="character" w:styleId="a6">
    <w:name w:val="Hyperlink"/>
    <w:basedOn w:val="a0"/>
    <w:uiPriority w:val="99"/>
    <w:semiHidden/>
    <w:unhideWhenUsed/>
    <w:rsid w:val="0007295B"/>
    <w:rPr>
      <w:color w:val="0000FF"/>
      <w:u w:val="single"/>
    </w:rPr>
  </w:style>
  <w:style w:type="paragraph" w:styleId="a7">
    <w:name w:val="List Paragraph"/>
    <w:basedOn w:val="a"/>
    <w:uiPriority w:val="34"/>
    <w:qFormat/>
    <w:rsid w:val="0007295B"/>
    <w:pPr>
      <w:ind w:left="720"/>
      <w:contextualSpacing/>
    </w:pPr>
  </w:style>
  <w:style w:type="character" w:customStyle="1" w:styleId="10">
    <w:name w:val="Заголовок 1 Знак"/>
    <w:basedOn w:val="a0"/>
    <w:link w:val="1"/>
    <w:uiPriority w:val="9"/>
    <w:rsid w:val="0007295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03898254">
      <w:bodyDiv w:val="1"/>
      <w:marLeft w:val="0"/>
      <w:marRight w:val="0"/>
      <w:marTop w:val="0"/>
      <w:marBottom w:val="0"/>
      <w:divBdr>
        <w:top w:val="none" w:sz="0" w:space="0" w:color="auto"/>
        <w:left w:val="none" w:sz="0" w:space="0" w:color="auto"/>
        <w:bottom w:val="none" w:sz="0" w:space="0" w:color="auto"/>
        <w:right w:val="none" w:sz="0" w:space="0" w:color="auto"/>
      </w:divBdr>
    </w:div>
    <w:div w:id="12858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8</cp:revision>
  <cp:lastPrinted>2019-09-25T13:07:00Z</cp:lastPrinted>
  <dcterms:created xsi:type="dcterms:W3CDTF">2019-09-24T06:29:00Z</dcterms:created>
  <dcterms:modified xsi:type="dcterms:W3CDTF">2019-09-26T06:13:00Z</dcterms:modified>
</cp:coreProperties>
</file>